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80"/>
      </w:tblGrid>
      <w:tr w:rsidR="005B6EA4" w14:paraId="1A516077" w14:textId="77777777" w:rsidTr="006F117D">
        <w:trPr>
          <w:trHeight w:val="567"/>
        </w:trPr>
        <w:tc>
          <w:tcPr>
            <w:tcW w:w="1913" w:type="dxa"/>
          </w:tcPr>
          <w:p w14:paraId="60AE1B3A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14:paraId="1257672D" w14:textId="77777777" w:rsidR="00F22911" w:rsidRPr="006F117D" w:rsidRDefault="00FE5F89" w:rsidP="00F2291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caps/>
                <w:lang w:val="eu-ES"/>
              </w:rPr>
            </w:pPr>
            <w:r w:rsidRPr="006F117D">
              <w:rPr>
                <w:rFonts w:ascii="Univers" w:hAnsi="Univers"/>
                <w:caps/>
                <w:noProof/>
                <w:lang w:val="eu-ES"/>
              </w:rPr>
              <w:t>Barne Antolaketaren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B37ADF" w:rsidRPr="006F117D">
              <w:rPr>
                <w:rFonts w:ascii="Univers" w:hAnsi="Univers"/>
                <w:caps/>
                <w:lang w:val="eu-ES"/>
              </w:rPr>
              <w:t>REN DIKTAMENA</w:t>
            </w:r>
          </w:p>
          <w:p w14:paraId="3E1DDA6D" w14:textId="0B8047DC" w:rsidR="00F22911" w:rsidRDefault="00F22911" w:rsidP="00104B35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</w:p>
        </w:tc>
      </w:tr>
    </w:tbl>
    <w:p w14:paraId="3EEE790A" w14:textId="77777777" w:rsidR="00104B35" w:rsidRPr="00104B35" w:rsidRDefault="00104B35" w:rsidP="00104B35">
      <w:pPr>
        <w:suppressAutoHyphens/>
        <w:jc w:val="both"/>
        <w:rPr>
          <w:rFonts w:ascii="Garamond" w:hAnsi="Garamond"/>
          <w:b/>
          <w:spacing w:val="-3"/>
          <w:sz w:val="24"/>
          <w:szCs w:val="24"/>
          <w:u w:val="single"/>
          <w:lang w:val="eu-ES"/>
        </w:rPr>
      </w:pPr>
    </w:p>
    <w:p w14:paraId="5DA65D3B" w14:textId="2E7BBAFB" w:rsidR="00104B35" w:rsidRPr="00FE5F89" w:rsidRDefault="00C54D19" w:rsidP="00104B35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 w:rsidR="002E3931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 AURREKONTUAREN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TOKIKO GOBERNU BATZARRAK 202</w:t>
      </w:r>
      <w:r w:rsidR="002E3931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KO </w:t>
      </w:r>
      <w:r w:rsidR="0076249B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AK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.</w:t>
      </w:r>
    </w:p>
    <w:p w14:paraId="52539027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ACDFB56" w14:textId="57524E7A" w:rsidR="00104B35" w:rsidRPr="00104B35" w:rsidRDefault="00FE5F89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>202</w:t>
      </w:r>
      <w:r w:rsidR="002E3931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ko </w:t>
      </w:r>
      <w:r w:rsidR="00D74130">
        <w:rPr>
          <w:rFonts w:ascii="Garamond" w:hAnsi="Garamond"/>
          <w:sz w:val="24"/>
          <w:szCs w:val="24"/>
          <w:lang w:val="eu-ES"/>
        </w:rPr>
        <w:t>a</w:t>
      </w:r>
      <w:r w:rsidRPr="00104B35">
        <w:rPr>
          <w:rFonts w:ascii="Garamond" w:hAnsi="Garamond"/>
          <w:sz w:val="24"/>
          <w:szCs w:val="24"/>
          <w:lang w:val="eu-ES"/>
        </w:rPr>
        <w:t>urrekontua</w:t>
      </w:r>
      <w:r w:rsidR="00C54D19">
        <w:rPr>
          <w:rFonts w:ascii="Garamond" w:hAnsi="Garamond"/>
          <w:sz w:val="24"/>
          <w:szCs w:val="24"/>
          <w:lang w:val="eu-ES"/>
        </w:rPr>
        <w:t>ren exekuzio</w:t>
      </w:r>
      <w:r w:rsidRPr="00104B35">
        <w:rPr>
          <w:rFonts w:ascii="Garamond" w:hAnsi="Garamond"/>
          <w:sz w:val="24"/>
          <w:szCs w:val="24"/>
          <w:lang w:val="eu-ES"/>
        </w:rPr>
        <w:t xml:space="preserve"> arauen 4. atalean, 9. artikuluan ezarritakoaren arabera, Tokiko Gobernu Batzarrak onartutako kreditu aldaketen espedienteei buruz informazioa bidali behar zaio</w:t>
      </w:r>
      <w:r w:rsidR="00C54D19">
        <w:rPr>
          <w:rFonts w:ascii="Garamond" w:hAnsi="Garamond"/>
          <w:sz w:val="24"/>
          <w:szCs w:val="24"/>
          <w:lang w:val="eu-ES"/>
        </w:rPr>
        <w:t xml:space="preserve"> Udaleko Osoko Bilkurari</w:t>
      </w:r>
      <w:r w:rsidR="00D74130">
        <w:rPr>
          <w:rFonts w:ascii="Garamond" w:hAnsi="Garamond"/>
          <w:sz w:val="24"/>
          <w:szCs w:val="24"/>
          <w:lang w:val="eu-ES"/>
        </w:rPr>
        <w:t xml:space="preserve"> </w:t>
      </w:r>
      <w:r w:rsidR="00D74130" w:rsidRPr="00104B35">
        <w:rPr>
          <w:rFonts w:ascii="Garamond" w:hAnsi="Garamond"/>
          <w:sz w:val="24"/>
          <w:szCs w:val="24"/>
          <w:lang w:val="eu-ES"/>
        </w:rPr>
        <w:t>hiru</w:t>
      </w:r>
      <w:r w:rsidR="00D74130">
        <w:rPr>
          <w:rFonts w:ascii="Garamond" w:hAnsi="Garamond"/>
          <w:sz w:val="24"/>
          <w:szCs w:val="24"/>
          <w:lang w:val="eu-ES"/>
        </w:rPr>
        <w:t xml:space="preserve"> </w:t>
      </w:r>
      <w:r w:rsidR="00D74130" w:rsidRPr="00104B35">
        <w:rPr>
          <w:rFonts w:ascii="Garamond" w:hAnsi="Garamond"/>
          <w:sz w:val="24"/>
          <w:szCs w:val="24"/>
          <w:lang w:val="eu-ES"/>
        </w:rPr>
        <w:t>hil</w:t>
      </w:r>
      <w:r w:rsidR="00D74130">
        <w:rPr>
          <w:rFonts w:ascii="Garamond" w:hAnsi="Garamond"/>
          <w:sz w:val="24"/>
          <w:szCs w:val="24"/>
          <w:lang w:val="eu-ES"/>
        </w:rPr>
        <w:t>ean behin</w:t>
      </w:r>
      <w:r w:rsidRPr="00104B35">
        <w:rPr>
          <w:rFonts w:ascii="Garamond" w:hAnsi="Garamond"/>
          <w:sz w:val="24"/>
          <w:szCs w:val="24"/>
          <w:lang w:val="eu-ES"/>
        </w:rPr>
        <w:t xml:space="preserve">. </w:t>
      </w:r>
      <w:r w:rsidR="00D74130">
        <w:rPr>
          <w:rFonts w:ascii="Garamond" w:hAnsi="Garamond"/>
          <w:sz w:val="24"/>
          <w:szCs w:val="24"/>
          <w:lang w:val="eu-ES"/>
        </w:rPr>
        <w:t>H</w:t>
      </w:r>
      <w:r w:rsidRPr="00104B35">
        <w:rPr>
          <w:rFonts w:ascii="Garamond" w:hAnsi="Garamond"/>
          <w:sz w:val="24"/>
          <w:szCs w:val="24"/>
          <w:lang w:val="eu-ES"/>
        </w:rPr>
        <w:t xml:space="preserve">ori betetzeko, Barne Antolaketaren </w:t>
      </w:r>
      <w:r w:rsidR="00C54D19">
        <w:rPr>
          <w:rFonts w:ascii="Garamond" w:hAnsi="Garamond"/>
          <w:sz w:val="24"/>
          <w:szCs w:val="24"/>
          <w:lang w:val="eu-ES"/>
        </w:rPr>
        <w:t>b</w:t>
      </w:r>
      <w:r w:rsidRPr="00104B35">
        <w:rPr>
          <w:rFonts w:ascii="Garamond" w:hAnsi="Garamond"/>
          <w:sz w:val="24"/>
          <w:szCs w:val="24"/>
          <w:lang w:val="eu-ES"/>
        </w:rPr>
        <w:t>atzordeak, kronologiaz ordenaturik, 202</w:t>
      </w:r>
      <w:r w:rsidR="002E3931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ko </w:t>
      </w:r>
      <w:r w:rsidR="006B2B3D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. hiruhilekoan onartutako espedienteen laburpen honen berri ematen dio </w:t>
      </w:r>
      <w:r w:rsidR="00C54D19">
        <w:rPr>
          <w:rFonts w:ascii="Garamond" w:hAnsi="Garamond"/>
          <w:sz w:val="24"/>
          <w:szCs w:val="24"/>
          <w:lang w:val="eu-ES"/>
        </w:rPr>
        <w:t>Udaleko Osoko Bilkurari</w:t>
      </w:r>
      <w:r w:rsidRPr="00104B35">
        <w:rPr>
          <w:rFonts w:ascii="Garamond" w:hAnsi="Garamond"/>
          <w:sz w:val="24"/>
          <w:szCs w:val="24"/>
          <w:lang w:val="eu-ES"/>
        </w:rPr>
        <w:t>:</w:t>
      </w:r>
    </w:p>
    <w:p w14:paraId="7B3003E8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7C6F8A0C" w14:textId="2BDF967B" w:rsidR="0076249B" w:rsidRDefault="0076249B" w:rsidP="0076249B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8F17FD">
        <w:rPr>
          <w:rFonts w:ascii="Garamond" w:hAnsi="Garamond"/>
        </w:rPr>
        <w:t xml:space="preserve">Tokiko Gobernu Batzarraren akordioa, </w:t>
      </w:r>
      <w:r>
        <w:rPr>
          <w:rFonts w:ascii="Garamond" w:hAnsi="Garamond"/>
        </w:rPr>
        <w:t>202</w:t>
      </w:r>
      <w:r>
        <w:rPr>
          <w:rFonts w:ascii="Garamond" w:hAnsi="Garamond"/>
        </w:rPr>
        <w:t>2</w:t>
      </w:r>
      <w:r w:rsidR="007D3F9B">
        <w:rPr>
          <w:rFonts w:ascii="Garamond" w:hAnsi="Garamond"/>
        </w:rPr>
        <w:t>/</w:t>
      </w:r>
      <w:r>
        <w:rPr>
          <w:rFonts w:ascii="Garamond" w:hAnsi="Garamond"/>
        </w:rPr>
        <w:t>0</w:t>
      </w:r>
      <w:r>
        <w:rPr>
          <w:rFonts w:ascii="Garamond" w:hAnsi="Garamond"/>
        </w:rPr>
        <w:t>4</w:t>
      </w:r>
      <w:r w:rsidR="007D3F9B">
        <w:rPr>
          <w:rFonts w:ascii="Garamond" w:hAnsi="Garamond"/>
        </w:rPr>
        <w:t>/</w:t>
      </w:r>
      <w:r>
        <w:rPr>
          <w:rFonts w:ascii="Garamond" w:hAnsi="Garamond"/>
        </w:rPr>
        <w:t>07</w:t>
      </w:r>
      <w:r>
        <w:rPr>
          <w:rFonts w:ascii="Garamond" w:hAnsi="Garamond"/>
        </w:rPr>
        <w:t xml:space="preserve">koa, </w:t>
      </w:r>
      <w:r w:rsidRPr="008F17FD">
        <w:rPr>
          <w:rFonts w:ascii="Garamond" w:hAnsi="Garamond"/>
        </w:rPr>
        <w:t>20</w:t>
      </w:r>
      <w:r>
        <w:rPr>
          <w:rFonts w:ascii="Garamond" w:hAnsi="Garamond"/>
        </w:rPr>
        <w:t>2</w:t>
      </w:r>
      <w:r>
        <w:rPr>
          <w:rFonts w:ascii="Garamond" w:hAnsi="Garamond"/>
        </w:rPr>
        <w:t>1e</w:t>
      </w:r>
      <w:r w:rsidRPr="008F17FD">
        <w:rPr>
          <w:rFonts w:ascii="Garamond" w:hAnsi="Garamond"/>
        </w:rPr>
        <w:t>ko aurrekontuaren likidazioa eta</w:t>
      </w:r>
      <w:r>
        <w:rPr>
          <w:rFonts w:ascii="Garamond" w:hAnsi="Garamond"/>
        </w:rPr>
        <w:t>, aldi berean,</w:t>
      </w:r>
      <w:r w:rsidRPr="008F17F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2021 urteko </w:t>
      </w:r>
      <w:r w:rsidRPr="008F17FD">
        <w:rPr>
          <w:rFonts w:ascii="Garamond" w:hAnsi="Garamond"/>
        </w:rPr>
        <w:t>aurrekontura kreditu txertatuak bidaltzea onartzen duena</w:t>
      </w:r>
      <w:r w:rsidRPr="00440AB9">
        <w:rPr>
          <w:rFonts w:ascii="Garamond" w:hAnsi="Garamond"/>
        </w:rPr>
        <w:t xml:space="preserve"> </w:t>
      </w:r>
      <w:r w:rsidRPr="008F17FD">
        <w:rPr>
          <w:rFonts w:ascii="Garamond" w:hAnsi="Garamond"/>
        </w:rPr>
        <w:t xml:space="preserve">kontusail desberdinetan, guztira </w:t>
      </w:r>
      <w:r w:rsidR="00984F02">
        <w:rPr>
          <w:rFonts w:ascii="Garamond" w:hAnsi="Garamond"/>
        </w:rPr>
        <w:t>5.378.959,28</w:t>
      </w:r>
      <w:r>
        <w:rPr>
          <w:rFonts w:ascii="Garamond" w:hAnsi="Garamond"/>
        </w:rPr>
        <w:t>e</w:t>
      </w:r>
      <w:r w:rsidRPr="008F17FD">
        <w:rPr>
          <w:rFonts w:ascii="Garamond" w:hAnsi="Garamond"/>
        </w:rPr>
        <w:t>uroko gehikuntza suposatzen duelarik</w:t>
      </w:r>
      <w:r>
        <w:rPr>
          <w:rFonts w:ascii="Garamond" w:hAnsi="Garamond"/>
        </w:rPr>
        <w:t>, 202</w:t>
      </w:r>
      <w:r w:rsidR="00EB0F87">
        <w:rPr>
          <w:rFonts w:ascii="Garamond" w:hAnsi="Garamond"/>
        </w:rPr>
        <w:t>1e</w:t>
      </w:r>
      <w:r>
        <w:rPr>
          <w:rFonts w:ascii="Garamond" w:hAnsi="Garamond"/>
        </w:rPr>
        <w:t>ko aurrekontuaren likidaziotik lortu den gastu orokorretarako diruzaintza gerakinaz finantzatuak.</w:t>
      </w:r>
    </w:p>
    <w:p w14:paraId="1672E924" w14:textId="77FCDA60" w:rsidR="0076249B" w:rsidRDefault="0076249B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04BE4C02" w14:textId="65C260CB" w:rsidR="005E2335" w:rsidRPr="00104B35" w:rsidRDefault="005E2335" w:rsidP="005E23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</w:t>
      </w:r>
      <w:r>
        <w:rPr>
          <w:rFonts w:ascii="Garamond" w:hAnsi="Garamond"/>
          <w:sz w:val="24"/>
          <w:szCs w:val="24"/>
          <w:lang w:val="eu-ES"/>
        </w:rPr>
        <w:t>04/07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0500.227.924.00.07 – Partehatze prozesuak – azterketa teknikoa” partida </w:t>
      </w:r>
      <w:r>
        <w:rPr>
          <w:rFonts w:ascii="Garamond" w:hAnsi="Garamond"/>
          <w:sz w:val="24"/>
          <w:szCs w:val="24"/>
          <w:lang w:val="eu-ES"/>
        </w:rPr>
        <w:t xml:space="preserve">sortzea, </w:t>
      </w:r>
      <w:r>
        <w:rPr>
          <w:rFonts w:ascii="Garamond" w:hAnsi="Garamond"/>
          <w:sz w:val="24"/>
          <w:szCs w:val="24"/>
          <w:lang w:val="eu-ES"/>
        </w:rPr>
        <w:t>11.111,43</w:t>
      </w:r>
      <w:r>
        <w:rPr>
          <w:rFonts w:ascii="Garamond" w:hAnsi="Garamond"/>
          <w:sz w:val="24"/>
          <w:szCs w:val="24"/>
          <w:lang w:val="eu-ES"/>
        </w:rPr>
        <w:t xml:space="preserve"> €-an, </w:t>
      </w:r>
      <w:r w:rsidRPr="00104B35">
        <w:rPr>
          <w:rFonts w:ascii="Garamond" w:hAnsi="Garamond"/>
          <w:sz w:val="24"/>
          <w:szCs w:val="24"/>
          <w:lang w:val="eu-ES"/>
        </w:rPr>
        <w:t>“1.</w:t>
      </w:r>
      <w:r>
        <w:rPr>
          <w:rFonts w:ascii="Garamond" w:hAnsi="Garamond"/>
          <w:sz w:val="24"/>
          <w:szCs w:val="24"/>
          <w:lang w:val="eu-ES"/>
        </w:rPr>
        <w:t>1400.500929.00.01</w:t>
      </w:r>
      <w:r w:rsidRPr="00104B35">
        <w:rPr>
          <w:rFonts w:ascii="Garamond" w:hAnsi="Garamond"/>
          <w:sz w:val="24"/>
          <w:szCs w:val="24"/>
          <w:lang w:val="eu-ES"/>
        </w:rPr>
        <w:t xml:space="preserve"> – Kreditu Globala</w:t>
      </w:r>
      <w:r>
        <w:rPr>
          <w:rFonts w:ascii="Garamond" w:hAnsi="Garamond"/>
          <w:sz w:val="24"/>
          <w:szCs w:val="24"/>
          <w:lang w:val="eu-ES"/>
        </w:rPr>
        <w:t>-Prozesu partehartzaileak</w:t>
      </w:r>
      <w:r w:rsidRPr="00104B35">
        <w:rPr>
          <w:rFonts w:ascii="Garamond" w:hAnsi="Garamond"/>
          <w:sz w:val="24"/>
          <w:szCs w:val="24"/>
          <w:lang w:val="eu-ES"/>
        </w:rPr>
        <w:t xml:space="preserve">” </w:t>
      </w:r>
      <w:r>
        <w:rPr>
          <w:rFonts w:ascii="Garamond" w:hAnsi="Garamond"/>
          <w:sz w:val="24"/>
          <w:szCs w:val="24"/>
          <w:lang w:val="eu-ES"/>
        </w:rPr>
        <w:t>partidatik</w:t>
      </w:r>
      <w:r w:rsidRPr="00104B35">
        <w:rPr>
          <w:rFonts w:ascii="Garamond" w:hAnsi="Garamond"/>
          <w:sz w:val="24"/>
          <w:szCs w:val="24"/>
          <w:lang w:val="eu-ES"/>
        </w:rPr>
        <w:t xml:space="preserve"> bideratutako kreditu transferentziaren bidez (dotazioa </w:t>
      </w:r>
      <w:r>
        <w:rPr>
          <w:rFonts w:ascii="Garamond" w:hAnsi="Garamond"/>
          <w:sz w:val="24"/>
          <w:szCs w:val="24"/>
          <w:lang w:val="eu-ES"/>
        </w:rPr>
        <w:t>238.888,57</w:t>
      </w:r>
      <w:r>
        <w:rPr>
          <w:rFonts w:ascii="Garamond" w:hAnsi="Garamond"/>
          <w:sz w:val="24"/>
          <w:szCs w:val="24"/>
          <w:lang w:val="eu-ES"/>
        </w:rPr>
        <w:t xml:space="preserve"> euro</w:t>
      </w:r>
      <w:r w:rsidRPr="00104B35">
        <w:rPr>
          <w:rFonts w:ascii="Garamond" w:hAnsi="Garamond"/>
          <w:sz w:val="24"/>
          <w:szCs w:val="24"/>
          <w:lang w:val="eu-ES"/>
        </w:rPr>
        <w:t>an gelditzen da).</w:t>
      </w:r>
    </w:p>
    <w:p w14:paraId="3A528831" w14:textId="0B3F8843" w:rsidR="005E2335" w:rsidRDefault="005E23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E9A6DE8" w14:textId="0B2849E3" w:rsidR="003A182D" w:rsidRDefault="003A182D" w:rsidP="003A182D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>- Tokiko Gobernu Ba</w:t>
      </w:r>
      <w:r>
        <w:rPr>
          <w:rFonts w:ascii="Garamond" w:hAnsi="Garamond"/>
          <w:sz w:val="24"/>
          <w:szCs w:val="24"/>
          <w:lang w:val="eu-ES"/>
        </w:rPr>
        <w:t>tzarraren akordioa, 202</w:t>
      </w:r>
      <w:r>
        <w:rPr>
          <w:rFonts w:ascii="Garamond" w:hAnsi="Garamond"/>
          <w:sz w:val="24"/>
          <w:szCs w:val="24"/>
          <w:lang w:val="eu-ES"/>
        </w:rPr>
        <w:t>2/05/05</w:t>
      </w:r>
      <w:r w:rsidRPr="008F17FD">
        <w:rPr>
          <w:rFonts w:ascii="Garamond" w:hAnsi="Garamond"/>
          <w:sz w:val="24"/>
          <w:szCs w:val="24"/>
          <w:lang w:val="eu-ES"/>
        </w:rPr>
        <w:t xml:space="preserve">koa, </w:t>
      </w:r>
      <w:r>
        <w:rPr>
          <w:rFonts w:ascii="Garamond" w:hAnsi="Garamond"/>
          <w:sz w:val="24"/>
          <w:szCs w:val="24"/>
          <w:lang w:val="eu-ES"/>
        </w:rPr>
        <w:t>onartzen duena “1</w:t>
      </w:r>
      <w:r>
        <w:rPr>
          <w:rFonts w:ascii="Garamond" w:hAnsi="Garamond"/>
          <w:sz w:val="24"/>
          <w:szCs w:val="24"/>
          <w:lang w:val="eu-ES"/>
        </w:rPr>
        <w:t>.0200.226.334.00.00 – Kultur ekintzak”, 11.147 euroan handitzea (dotazioa 361.147 euroan gelditzen da); gastu hori finantzatuko da kreditu gaikuntzaren erregimenean, diru-sarreretako “2.0200.410.000.01.01 – E.J.-kultur ekintzak dirulaguntzak</w:t>
      </w:r>
      <w:r w:rsidR="002E5B77">
        <w:rPr>
          <w:rFonts w:ascii="Garamond" w:hAnsi="Garamond"/>
          <w:sz w:val="24"/>
          <w:szCs w:val="24"/>
          <w:lang w:val="eu-ES"/>
        </w:rPr>
        <w:t>” partidan lortuko diren sarrera handiagoekin.</w:t>
      </w:r>
    </w:p>
    <w:p w14:paraId="23A74CD4" w14:textId="643B1FCE" w:rsidR="002E5B77" w:rsidRDefault="002E5B77" w:rsidP="003A182D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B12CC66" w14:textId="590CF549" w:rsidR="002E5B77" w:rsidRPr="00104B35" w:rsidRDefault="002E5B77" w:rsidP="002E5B77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2/0</w:t>
      </w:r>
      <w:r>
        <w:rPr>
          <w:rFonts w:ascii="Garamond" w:hAnsi="Garamond"/>
          <w:sz w:val="24"/>
          <w:szCs w:val="24"/>
          <w:lang w:val="eu-ES"/>
        </w:rPr>
        <w:t>6/02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0200.226.334.00.03 – Mondra and roll jaialdia” partida sortzea, 18.150 euroan, </w:t>
      </w:r>
      <w:r w:rsidRPr="00104B35">
        <w:rPr>
          <w:rFonts w:ascii="Garamond" w:hAnsi="Garamond"/>
          <w:sz w:val="24"/>
          <w:szCs w:val="24"/>
          <w:lang w:val="eu-ES"/>
        </w:rPr>
        <w:t>“1.</w:t>
      </w:r>
      <w:r>
        <w:rPr>
          <w:rFonts w:ascii="Garamond" w:hAnsi="Garamond"/>
          <w:sz w:val="24"/>
          <w:szCs w:val="24"/>
          <w:lang w:val="eu-ES"/>
        </w:rPr>
        <w:t>0200.481.334.00.01 – Mondra and rolla jaialdia”</w:t>
      </w:r>
      <w:r w:rsidRPr="00104B35">
        <w:rPr>
          <w:rFonts w:ascii="Garamond" w:hAnsi="Garamond"/>
          <w:sz w:val="24"/>
          <w:szCs w:val="24"/>
          <w:lang w:val="eu-ES"/>
        </w:rPr>
        <w:t xml:space="preserve"> </w:t>
      </w:r>
      <w:r>
        <w:rPr>
          <w:rFonts w:ascii="Garamond" w:hAnsi="Garamond"/>
          <w:sz w:val="24"/>
          <w:szCs w:val="24"/>
          <w:lang w:val="eu-ES"/>
        </w:rPr>
        <w:t>partidatik</w:t>
      </w:r>
      <w:r w:rsidRPr="00104B35">
        <w:rPr>
          <w:rFonts w:ascii="Garamond" w:hAnsi="Garamond"/>
          <w:sz w:val="24"/>
          <w:szCs w:val="24"/>
          <w:lang w:val="eu-ES"/>
        </w:rPr>
        <w:t xml:space="preserve"> bideratutako kreditu transferentziaren bidez (dotazioa </w:t>
      </w:r>
      <w:r>
        <w:rPr>
          <w:rFonts w:ascii="Garamond" w:hAnsi="Garamond"/>
          <w:sz w:val="24"/>
          <w:szCs w:val="24"/>
          <w:lang w:val="eu-ES"/>
        </w:rPr>
        <w:t>1.850</w:t>
      </w:r>
      <w:r>
        <w:rPr>
          <w:rFonts w:ascii="Garamond" w:hAnsi="Garamond"/>
          <w:sz w:val="24"/>
          <w:szCs w:val="24"/>
          <w:lang w:val="eu-ES"/>
        </w:rPr>
        <w:t xml:space="preserve"> euro</w:t>
      </w:r>
      <w:r w:rsidRPr="00104B35">
        <w:rPr>
          <w:rFonts w:ascii="Garamond" w:hAnsi="Garamond"/>
          <w:sz w:val="24"/>
          <w:szCs w:val="24"/>
          <w:lang w:val="eu-ES"/>
        </w:rPr>
        <w:t>an gelditzen da).</w:t>
      </w:r>
    </w:p>
    <w:p w14:paraId="4B4003EB" w14:textId="79FED3CD" w:rsidR="002E5B77" w:rsidRDefault="002E5B77" w:rsidP="003A182D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C4DA2F6" w14:textId="64A5820D" w:rsidR="00EB0F87" w:rsidRDefault="00EB0F87" w:rsidP="00EB0F87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8F17FD">
        <w:rPr>
          <w:rFonts w:ascii="Garamond" w:hAnsi="Garamond"/>
        </w:rPr>
        <w:t xml:space="preserve">Tokiko Gobernu Batzarraren akordioa, </w:t>
      </w:r>
      <w:r>
        <w:rPr>
          <w:rFonts w:ascii="Garamond" w:hAnsi="Garamond"/>
        </w:rPr>
        <w:t>2022/0</w:t>
      </w:r>
      <w:r>
        <w:rPr>
          <w:rFonts w:ascii="Garamond" w:hAnsi="Garamond"/>
        </w:rPr>
        <w:t>6/02</w:t>
      </w:r>
      <w:r>
        <w:rPr>
          <w:rFonts w:ascii="Garamond" w:hAnsi="Garamond"/>
        </w:rPr>
        <w:t xml:space="preserve">koa, </w:t>
      </w:r>
      <w:r w:rsidRPr="008F17FD">
        <w:rPr>
          <w:rFonts w:ascii="Garamond" w:hAnsi="Garamond"/>
        </w:rPr>
        <w:t>20</w:t>
      </w:r>
      <w:r>
        <w:rPr>
          <w:rFonts w:ascii="Garamond" w:hAnsi="Garamond"/>
        </w:rPr>
        <w:t>21e</w:t>
      </w:r>
      <w:r w:rsidRPr="008F17FD">
        <w:rPr>
          <w:rFonts w:ascii="Garamond" w:hAnsi="Garamond"/>
        </w:rPr>
        <w:t>ko aurrekontuaren likidazioa eta</w:t>
      </w:r>
      <w:r>
        <w:rPr>
          <w:rFonts w:ascii="Garamond" w:hAnsi="Garamond"/>
        </w:rPr>
        <w:t>, aldi berean,</w:t>
      </w:r>
      <w:r w:rsidRPr="008F17F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2021 urteko </w:t>
      </w:r>
      <w:r w:rsidRPr="008F17FD">
        <w:rPr>
          <w:rFonts w:ascii="Garamond" w:hAnsi="Garamond"/>
        </w:rPr>
        <w:t>aurrekontura kreditu txertatuak bidaltzea onartzen duena</w:t>
      </w:r>
      <w:r w:rsidRPr="00440AB9">
        <w:rPr>
          <w:rFonts w:ascii="Garamond" w:hAnsi="Garamond"/>
        </w:rPr>
        <w:t xml:space="preserve"> </w:t>
      </w:r>
      <w:r w:rsidRPr="008F17FD">
        <w:rPr>
          <w:rFonts w:ascii="Garamond" w:hAnsi="Garamond"/>
        </w:rPr>
        <w:t xml:space="preserve">kontusail desberdinetan, guztira </w:t>
      </w:r>
      <w:r>
        <w:rPr>
          <w:rFonts w:ascii="Garamond" w:hAnsi="Garamond"/>
        </w:rPr>
        <w:t>1.146.517,13</w:t>
      </w:r>
      <w:r>
        <w:rPr>
          <w:rFonts w:ascii="Garamond" w:hAnsi="Garamond"/>
        </w:rPr>
        <w:t>e</w:t>
      </w:r>
      <w:r w:rsidRPr="008F17FD">
        <w:rPr>
          <w:rFonts w:ascii="Garamond" w:hAnsi="Garamond"/>
        </w:rPr>
        <w:t>uroko gehikuntza suposatzen duelarik</w:t>
      </w:r>
      <w:r>
        <w:rPr>
          <w:rFonts w:ascii="Garamond" w:hAnsi="Garamond"/>
        </w:rPr>
        <w:t>, 202</w:t>
      </w:r>
      <w:r>
        <w:rPr>
          <w:rFonts w:ascii="Garamond" w:hAnsi="Garamond"/>
        </w:rPr>
        <w:t>1e</w:t>
      </w:r>
      <w:r>
        <w:rPr>
          <w:rFonts w:ascii="Garamond" w:hAnsi="Garamond"/>
        </w:rPr>
        <w:t>ko aurrekontuaren likidaziotik lortu den gastu orokorretarako diruzaintza gerakinaz finantzatuak.</w:t>
      </w:r>
    </w:p>
    <w:p w14:paraId="40104C58" w14:textId="77777777" w:rsidR="00EB0F87" w:rsidRDefault="00EB0F87" w:rsidP="003A182D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3340FC8" w14:textId="49B335D5" w:rsidR="002E50C8" w:rsidRPr="00104B35" w:rsidRDefault="002E50C8" w:rsidP="002E50C8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2/06/0</w:t>
      </w:r>
      <w:r w:rsidR="00E66436">
        <w:rPr>
          <w:rFonts w:ascii="Garamond" w:hAnsi="Garamond"/>
          <w:sz w:val="24"/>
          <w:szCs w:val="24"/>
          <w:lang w:val="eu-ES"/>
        </w:rPr>
        <w:t>9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 w:rsidR="00E66436">
        <w:rPr>
          <w:rFonts w:ascii="Garamond" w:hAnsi="Garamond"/>
          <w:sz w:val="24"/>
          <w:szCs w:val="24"/>
          <w:lang w:val="eu-ES"/>
        </w:rPr>
        <w:t>0400.480.231.81.01</w:t>
      </w:r>
      <w:r>
        <w:rPr>
          <w:rFonts w:ascii="Garamond" w:hAnsi="Garamond"/>
          <w:sz w:val="24"/>
          <w:szCs w:val="24"/>
          <w:lang w:val="eu-ES"/>
        </w:rPr>
        <w:t xml:space="preserve"> – </w:t>
      </w:r>
      <w:r w:rsidR="00BD56E4">
        <w:rPr>
          <w:rFonts w:ascii="Garamond" w:hAnsi="Garamond"/>
          <w:sz w:val="24"/>
          <w:szCs w:val="24"/>
          <w:lang w:val="eu-ES"/>
        </w:rPr>
        <w:t>Dirulaguntza-dinamizatzaileen formakuntza-Ekko”</w:t>
      </w:r>
      <w:r>
        <w:rPr>
          <w:rFonts w:ascii="Garamond" w:hAnsi="Garamond"/>
          <w:sz w:val="24"/>
          <w:szCs w:val="24"/>
          <w:lang w:val="eu-ES"/>
        </w:rPr>
        <w:t xml:space="preserve"> partida sortzea, </w:t>
      </w:r>
      <w:r w:rsidR="00BD56E4">
        <w:rPr>
          <w:rFonts w:ascii="Garamond" w:hAnsi="Garamond"/>
          <w:sz w:val="24"/>
          <w:szCs w:val="24"/>
          <w:lang w:val="eu-ES"/>
        </w:rPr>
        <w:t>32.000</w:t>
      </w:r>
      <w:r>
        <w:rPr>
          <w:rFonts w:ascii="Garamond" w:hAnsi="Garamond"/>
          <w:sz w:val="24"/>
          <w:szCs w:val="24"/>
          <w:lang w:val="eu-ES"/>
        </w:rPr>
        <w:t xml:space="preserve"> euroan, </w:t>
      </w:r>
      <w:r w:rsidRPr="00104B35">
        <w:rPr>
          <w:rFonts w:ascii="Garamond" w:hAnsi="Garamond"/>
          <w:sz w:val="24"/>
          <w:szCs w:val="24"/>
          <w:lang w:val="eu-ES"/>
        </w:rPr>
        <w:t>“1.</w:t>
      </w:r>
      <w:r w:rsidR="00BD56E4">
        <w:rPr>
          <w:rFonts w:ascii="Garamond" w:hAnsi="Garamond"/>
          <w:sz w:val="24"/>
          <w:szCs w:val="24"/>
          <w:lang w:val="eu-ES"/>
        </w:rPr>
        <w:t>0400.227.231.81.99</w:t>
      </w:r>
      <w:r>
        <w:rPr>
          <w:rFonts w:ascii="Garamond" w:hAnsi="Garamond"/>
          <w:sz w:val="24"/>
          <w:szCs w:val="24"/>
          <w:lang w:val="eu-ES"/>
        </w:rPr>
        <w:t xml:space="preserve"> – </w:t>
      </w:r>
      <w:r w:rsidR="00BD56E4">
        <w:rPr>
          <w:rFonts w:ascii="Garamond" w:hAnsi="Garamond"/>
          <w:sz w:val="24"/>
          <w:szCs w:val="24"/>
          <w:lang w:val="eu-ES"/>
        </w:rPr>
        <w:t>Ekko programa”</w:t>
      </w:r>
      <w:r w:rsidRPr="00104B35">
        <w:rPr>
          <w:rFonts w:ascii="Garamond" w:hAnsi="Garamond"/>
          <w:sz w:val="24"/>
          <w:szCs w:val="24"/>
          <w:lang w:val="eu-ES"/>
        </w:rPr>
        <w:t xml:space="preserve"> </w:t>
      </w:r>
      <w:r>
        <w:rPr>
          <w:rFonts w:ascii="Garamond" w:hAnsi="Garamond"/>
          <w:sz w:val="24"/>
          <w:szCs w:val="24"/>
          <w:lang w:val="eu-ES"/>
        </w:rPr>
        <w:t>partidatik</w:t>
      </w:r>
      <w:r w:rsidRPr="00104B35">
        <w:rPr>
          <w:rFonts w:ascii="Garamond" w:hAnsi="Garamond"/>
          <w:sz w:val="24"/>
          <w:szCs w:val="24"/>
          <w:lang w:val="eu-ES"/>
        </w:rPr>
        <w:t xml:space="preserve"> bideratutako kreditu transferentziaren bidez (dotazioa </w:t>
      </w:r>
      <w:r w:rsidR="00BD56E4">
        <w:rPr>
          <w:rFonts w:ascii="Garamond" w:hAnsi="Garamond"/>
          <w:sz w:val="24"/>
          <w:szCs w:val="24"/>
          <w:lang w:val="eu-ES"/>
        </w:rPr>
        <w:t>8.000</w:t>
      </w:r>
      <w:r>
        <w:rPr>
          <w:rFonts w:ascii="Garamond" w:hAnsi="Garamond"/>
          <w:sz w:val="24"/>
          <w:szCs w:val="24"/>
          <w:lang w:val="eu-ES"/>
        </w:rPr>
        <w:t xml:space="preserve"> euro</w:t>
      </w:r>
      <w:r w:rsidRPr="00104B35">
        <w:rPr>
          <w:rFonts w:ascii="Garamond" w:hAnsi="Garamond"/>
          <w:sz w:val="24"/>
          <w:szCs w:val="24"/>
          <w:lang w:val="eu-ES"/>
        </w:rPr>
        <w:t>an gelditzen da).</w:t>
      </w:r>
    </w:p>
    <w:p w14:paraId="313460AE" w14:textId="77777777" w:rsidR="002E5B77" w:rsidRDefault="002E5B77" w:rsidP="003A182D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5549AF77" w14:textId="0B99832D" w:rsidR="00BD56E4" w:rsidRDefault="00FE5F89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 w:rsidR="00C54D19"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 w:rsidR="00FF111B">
        <w:rPr>
          <w:rFonts w:ascii="Garamond" w:hAnsi="Garamond"/>
          <w:sz w:val="24"/>
          <w:szCs w:val="24"/>
          <w:lang w:val="eu-ES"/>
        </w:rPr>
        <w:t>2/0</w:t>
      </w:r>
      <w:r w:rsidR="00BD56E4">
        <w:rPr>
          <w:rFonts w:ascii="Garamond" w:hAnsi="Garamond"/>
          <w:sz w:val="24"/>
          <w:szCs w:val="24"/>
          <w:lang w:val="eu-ES"/>
        </w:rPr>
        <w:t>6/16k</w:t>
      </w:r>
      <w:r w:rsidRPr="00104B35">
        <w:rPr>
          <w:rFonts w:ascii="Garamond" w:hAnsi="Garamond"/>
          <w:sz w:val="24"/>
          <w:szCs w:val="24"/>
          <w:lang w:val="eu-ES"/>
        </w:rPr>
        <w:t>oa, onartzen duena “1.</w:t>
      </w:r>
      <w:r w:rsidR="00BD56E4">
        <w:rPr>
          <w:rFonts w:ascii="Garamond" w:hAnsi="Garamond"/>
          <w:sz w:val="24"/>
          <w:szCs w:val="24"/>
          <w:lang w:val="eu-ES"/>
        </w:rPr>
        <w:t>0600.220.920.00.02 – Pertsonal</w:t>
      </w:r>
      <w:r w:rsidR="00827B1F">
        <w:rPr>
          <w:rFonts w:ascii="Garamond" w:hAnsi="Garamond"/>
          <w:sz w:val="24"/>
          <w:szCs w:val="24"/>
          <w:lang w:val="eu-ES"/>
        </w:rPr>
        <w:t>/I</w:t>
      </w:r>
      <w:r w:rsidR="00BD56E4">
        <w:rPr>
          <w:rFonts w:ascii="Garamond" w:hAnsi="Garamond"/>
          <w:sz w:val="24"/>
          <w:szCs w:val="24"/>
          <w:lang w:val="eu-ES"/>
        </w:rPr>
        <w:t>dazkaritza liburuak-argiltapen gastuak”, 8.000 € zenbatekoa handitzea (dotazioa 18.000€-an gelditzen da)</w:t>
      </w:r>
      <w:r w:rsidR="00827B1F">
        <w:rPr>
          <w:rFonts w:ascii="Garamond" w:hAnsi="Garamond"/>
          <w:sz w:val="24"/>
          <w:szCs w:val="24"/>
          <w:lang w:val="eu-ES"/>
        </w:rPr>
        <w:t xml:space="preserve">; “1.0600.230.920.00.01 – Pertsonal/Idazkaritza – ikastaroak”, 6.100 € zenbatekoa handitzea </w:t>
      </w:r>
      <w:r w:rsidR="00827B1F">
        <w:rPr>
          <w:rFonts w:ascii="Garamond" w:hAnsi="Garamond"/>
          <w:sz w:val="24"/>
          <w:szCs w:val="24"/>
          <w:lang w:val="eu-ES"/>
        </w:rPr>
        <w:lastRenderedPageBreak/>
        <w:t>(dotazioa 9.100€-an gelditzen da); “1.0910.226.172.02.03 – Ekiola egitasmoa”partida sortzea, 22.000 euroan, “</w:t>
      </w:r>
      <w:r w:rsidR="00A82BE4">
        <w:rPr>
          <w:rFonts w:ascii="Garamond" w:hAnsi="Garamond"/>
          <w:sz w:val="24"/>
          <w:szCs w:val="24"/>
          <w:lang w:val="eu-ES"/>
        </w:rPr>
        <w:t>1.0100.500.929.00.00 – Kreditu Globala” partidatik bideratutako kreditu transferentziaren bidez (dotazioa 232.423,11 euroan gelditzen da).</w:t>
      </w:r>
    </w:p>
    <w:p w14:paraId="65C1949B" w14:textId="6B74A741" w:rsidR="00827B1F" w:rsidRDefault="00827B1F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A9BABC9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B0F4DE1" w14:textId="77777777" w:rsidR="00F22911" w:rsidRDefault="00FE5F89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p w14:paraId="452BA5ED" w14:textId="77777777" w:rsidR="00F22911" w:rsidRDefault="00F22911">
      <w:pPr>
        <w:pStyle w:val="Testu-gorputza"/>
        <w:ind w:firstLine="0"/>
        <w:jc w:val="center"/>
        <w:rPr>
          <w:lang w:val="eu-ES"/>
        </w:rPr>
      </w:pPr>
    </w:p>
    <w:sectPr w:rsidR="00F22911" w:rsidSect="006F117D">
      <w:headerReference w:type="default" r:id="rId7"/>
      <w:footerReference w:type="default" r:id="rId8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54DF" w14:textId="77777777" w:rsidR="00ED7B65" w:rsidRDefault="00FE5F89">
      <w:r>
        <w:separator/>
      </w:r>
    </w:p>
  </w:endnote>
  <w:endnote w:type="continuationSeparator" w:id="0">
    <w:p w14:paraId="799FC47A" w14:textId="77777777" w:rsidR="00ED7B65" w:rsidRDefault="00FE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844"/>
      <w:gridCol w:w="3074"/>
      <w:gridCol w:w="1136"/>
      <w:gridCol w:w="3882"/>
      <w:gridCol w:w="976"/>
    </w:tblGrid>
    <w:tr w:rsidR="005B6EA4" w14:paraId="4B8996BC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857599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  <w:shd w:val="clear" w:color="auto" w:fill="auto"/>
        </w:tcPr>
        <w:p w14:paraId="2A15039F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K21/07460</w:t>
          </w:r>
        </w:p>
      </w:tc>
      <w:tc>
        <w:tcPr>
          <w:tcW w:w="566" w:type="pct"/>
          <w:shd w:val="clear" w:color="auto" w:fill="B3B3B3"/>
        </w:tcPr>
        <w:p w14:paraId="0338B7B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  <w:shd w:val="clear" w:color="auto" w:fill="auto"/>
        </w:tcPr>
        <w:p w14:paraId="31ECAFDD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60237698" w14:textId="3679AF1A" w:rsidR="003F1202" w:rsidRPr="003F1202" w:rsidRDefault="00FE5F89" w:rsidP="003F1202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65430CAD" wp14:editId="7F388600">
                <wp:extent cx="724535" cy="724535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EA4" w14:paraId="1DA0CB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78688B40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  <w:shd w:val="clear" w:color="auto" w:fill="auto"/>
        </w:tcPr>
        <w:p w14:paraId="5DB31819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000.0055.AAAAM6C8.M.D1Nn</w:t>
          </w:r>
        </w:p>
      </w:tc>
      <w:tc>
        <w:tcPr>
          <w:tcW w:w="486" w:type="pct"/>
          <w:vMerge/>
          <w:shd w:val="clear" w:color="auto" w:fill="auto"/>
        </w:tcPr>
        <w:p w14:paraId="3AB06F0B" w14:textId="77777777" w:rsidR="003F1202" w:rsidRDefault="003F1202" w:rsidP="003F1202">
          <w:pPr>
            <w:pStyle w:val="Orri-oina"/>
          </w:pPr>
        </w:p>
      </w:tc>
    </w:tr>
    <w:tr w:rsidR="005B6EA4" w14:paraId="4B013FE1" w14:textId="77777777" w:rsidTr="003F1202">
      <w:tc>
        <w:tcPr>
          <w:tcW w:w="421" w:type="pct"/>
          <w:shd w:val="clear" w:color="auto" w:fill="B3B3B3"/>
        </w:tcPr>
        <w:p w14:paraId="3CA89A3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  <w:shd w:val="clear" w:color="auto" w:fill="auto"/>
        </w:tcPr>
        <w:p w14:paraId="2B3121B9" w14:textId="77777777" w:rsidR="003F1202" w:rsidRPr="00D74130" w:rsidRDefault="006B2B3D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 w:rsidR="00FE5F89" w:rsidRPr="00D74130">
              <w:rPr>
                <w:rStyle w:val="Hiperesteka"/>
                <w:rFonts w:ascii="Tahoma" w:hAnsi="Tahoma" w:cs="Tahoma"/>
                <w:lang w:val="eu-ES"/>
              </w:rPr>
              <w:t>https://uzt.gipuzkoa.eus/PortalV/r/eu/55/AAAAM6C8M.D1Nn</w:t>
            </w:r>
          </w:hyperlink>
        </w:p>
      </w:tc>
      <w:tc>
        <w:tcPr>
          <w:tcW w:w="486" w:type="pct"/>
          <w:vMerge/>
          <w:shd w:val="clear" w:color="auto" w:fill="auto"/>
        </w:tcPr>
        <w:p w14:paraId="16E785B5" w14:textId="77777777" w:rsidR="003F1202" w:rsidRDefault="003F1202" w:rsidP="003F1202">
          <w:pPr>
            <w:pStyle w:val="Orri-oina"/>
          </w:pPr>
        </w:p>
      </w:tc>
    </w:tr>
    <w:tr w:rsidR="005B6EA4" w14:paraId="1321A394" w14:textId="77777777" w:rsidTr="003F1202">
      <w:tc>
        <w:tcPr>
          <w:tcW w:w="4514" w:type="pct"/>
          <w:gridSpan w:val="4"/>
          <w:shd w:val="clear" w:color="auto" w:fill="auto"/>
          <w:vAlign w:val="center"/>
        </w:tcPr>
        <w:p w14:paraId="09FC6D63" w14:textId="77DA7C17" w:rsidR="003F1202" w:rsidRPr="00D74130" w:rsidRDefault="00FE5F89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D74130">
            <w:rPr>
              <w:rFonts w:ascii="Tahoma" w:hAnsi="Tahoma" w:cs="Tahoma"/>
              <w:sz w:val="16"/>
              <w:lang w:val="eu-ES"/>
            </w:rPr>
            <w:t>Dokumentu honen balio</w:t>
          </w:r>
          <w:r w:rsidR="00C54D19" w:rsidRPr="00D74130">
            <w:rPr>
              <w:rFonts w:ascii="Tahoma" w:hAnsi="Tahoma" w:cs="Tahoma"/>
              <w:sz w:val="16"/>
              <w:lang w:val="eu-ES"/>
            </w:rPr>
            <w:t>a</w:t>
          </w:r>
          <w:r w:rsidRPr="00D74130">
            <w:rPr>
              <w:rFonts w:ascii="Tahoma" w:hAnsi="Tahoma" w:cs="Tahoma"/>
              <w:sz w:val="16"/>
              <w:lang w:val="eu-ES"/>
            </w:rPr>
            <w:t xml:space="preserve"> egiaztatzeko</w:t>
          </w:r>
          <w:r w:rsidR="00C54D19" w:rsidRPr="00D74130">
            <w:rPr>
              <w:rFonts w:ascii="Tahoma" w:hAnsi="Tahoma" w:cs="Tahoma"/>
              <w:sz w:val="16"/>
              <w:lang w:val="eu-ES"/>
            </w:rPr>
            <w:t xml:space="preserve">, sartu zaitez webgunean edo irakurri ezazu </w:t>
          </w:r>
          <w:r w:rsidRPr="00D74130">
            <w:rPr>
              <w:rFonts w:ascii="Tahoma" w:hAnsi="Tahoma" w:cs="Tahoma"/>
              <w:sz w:val="16"/>
              <w:lang w:val="eu-ES"/>
            </w:rPr>
            <w:t>QR irudia</w:t>
          </w:r>
        </w:p>
      </w:tc>
      <w:tc>
        <w:tcPr>
          <w:tcW w:w="486" w:type="pct"/>
          <w:vMerge/>
          <w:shd w:val="clear" w:color="auto" w:fill="auto"/>
        </w:tcPr>
        <w:p w14:paraId="33FD2FDB" w14:textId="77777777" w:rsidR="003F1202" w:rsidRDefault="003F1202" w:rsidP="003F1202">
          <w:pPr>
            <w:pStyle w:val="Orri-oina"/>
          </w:pPr>
        </w:p>
      </w:tc>
    </w:tr>
  </w:tbl>
  <w:p w14:paraId="0C8D0F07" w14:textId="77777777" w:rsidR="006F117D" w:rsidRPr="003F1202" w:rsidRDefault="006F117D" w:rsidP="003F120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523C" w14:textId="77777777" w:rsidR="00ED7B65" w:rsidRDefault="00FE5F89">
      <w:r>
        <w:separator/>
      </w:r>
    </w:p>
  </w:footnote>
  <w:footnote w:type="continuationSeparator" w:id="0">
    <w:p w14:paraId="1014EA81" w14:textId="77777777" w:rsidR="00ED7B65" w:rsidRDefault="00FE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D302" w14:textId="77777777" w:rsidR="00F22911" w:rsidRDefault="00F22911">
    <w:pPr>
      <w:pStyle w:val="Oin-oharrarentestua"/>
    </w:pPr>
  </w:p>
  <w:p w14:paraId="77ECD235" w14:textId="77777777" w:rsidR="00F22911" w:rsidRDefault="00F22911"/>
  <w:p w14:paraId="53493D54" w14:textId="77777777" w:rsidR="00F22911" w:rsidRDefault="00F22911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5B6EA4" w14:paraId="7318AA88" w14:textId="77777777">
      <w:trPr>
        <w:trHeight w:val="1442"/>
      </w:trPr>
      <w:tc>
        <w:tcPr>
          <w:tcW w:w="4820" w:type="dxa"/>
          <w:gridSpan w:val="2"/>
        </w:tcPr>
        <w:p w14:paraId="3BC2A5F1" w14:textId="602A6C8F" w:rsidR="00F22911" w:rsidRPr="00D74130" w:rsidRDefault="00FE5F89">
          <w:pPr>
            <w:pStyle w:val="Goiburua"/>
            <w:rPr>
              <w:lang w:val="eu-ES"/>
            </w:rPr>
          </w:pPr>
          <w:r w:rsidRPr="00D74130"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687916D2" wp14:editId="7B073FE0">
                <wp:extent cx="2084070" cy="99187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3564F401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CF1A1F3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5CDEF471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05474FB" w14:textId="7E9B3176" w:rsidR="00F22911" w:rsidRPr="00D74130" w:rsidRDefault="00FE5F89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>Kontu</w:t>
          </w:r>
          <w:r w:rsidR="00D74130">
            <w:rPr>
              <w:rFonts w:ascii="Univers" w:hAnsi="Univers"/>
              <w:b/>
              <w:sz w:val="22"/>
              <w:lang w:val="eu-ES"/>
            </w:rPr>
            <w:t xml:space="preserve"> </w:t>
          </w:r>
          <w:r w:rsidRPr="00D74130">
            <w:rPr>
              <w:rFonts w:ascii="Univers" w:hAnsi="Univers"/>
              <w:b/>
              <w:sz w:val="22"/>
              <w:lang w:val="eu-ES"/>
            </w:rPr>
            <w:t xml:space="preserve">hartzailetza </w:t>
          </w:r>
          <w:r w:rsidRPr="00D74130"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086D542E" wp14:editId="221E9B86">
                <wp:extent cx="83185" cy="8318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EA4" w14:paraId="7C4DFA21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D6464EB" w14:textId="77777777" w:rsidR="002E3931" w:rsidRDefault="00FE5F89" w:rsidP="002E3931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</w:p>
        <w:p w14:paraId="510911C5" w14:textId="44C1889D" w:rsidR="00F22911" w:rsidRPr="00D74130" w:rsidRDefault="00FE5F89" w:rsidP="002E3931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63FB8057" w14:textId="062210D3" w:rsidR="00F22911" w:rsidRPr="00D74130" w:rsidRDefault="00FE5F89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Gaia: </w:t>
          </w:r>
        </w:p>
        <w:p w14:paraId="42777846" w14:textId="3ECAF75C" w:rsidR="002E3931" w:rsidRPr="002E3931" w:rsidRDefault="00FE5F89">
          <w:pPr>
            <w:pStyle w:val="Goiburua"/>
            <w:rPr>
              <w:rFonts w:ascii="Univers" w:hAnsi="Univers"/>
              <w:noProof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</w:p>
      </w:tc>
    </w:tr>
  </w:tbl>
  <w:p w14:paraId="5681C8FC" w14:textId="77777777" w:rsidR="00F22911" w:rsidRDefault="00F22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890B33"/>
    <w:multiLevelType w:val="hybridMultilevel"/>
    <w:tmpl w:val="34DC4E56"/>
    <w:lvl w:ilvl="0" w:tplc="DD2A0D0E">
      <w:start w:val="2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7815367">
    <w:abstractNumId w:val="0"/>
  </w:num>
  <w:num w:numId="2" w16cid:durableId="92762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33F96"/>
    <w:rsid w:val="000C6EA3"/>
    <w:rsid w:val="000C75C7"/>
    <w:rsid w:val="00104B35"/>
    <w:rsid w:val="002E1050"/>
    <w:rsid w:val="002E3931"/>
    <w:rsid w:val="002E50C8"/>
    <w:rsid w:val="002E5B77"/>
    <w:rsid w:val="002E5B78"/>
    <w:rsid w:val="002E65E0"/>
    <w:rsid w:val="00336AD0"/>
    <w:rsid w:val="00392D19"/>
    <w:rsid w:val="003A182D"/>
    <w:rsid w:val="003F1202"/>
    <w:rsid w:val="0052242D"/>
    <w:rsid w:val="00577712"/>
    <w:rsid w:val="005B6EA4"/>
    <w:rsid w:val="005E2335"/>
    <w:rsid w:val="006B2B3D"/>
    <w:rsid w:val="006F117D"/>
    <w:rsid w:val="0076249B"/>
    <w:rsid w:val="007D3F9B"/>
    <w:rsid w:val="00806B19"/>
    <w:rsid w:val="00827B1F"/>
    <w:rsid w:val="0084279E"/>
    <w:rsid w:val="0086507A"/>
    <w:rsid w:val="00984F02"/>
    <w:rsid w:val="00A82BE4"/>
    <w:rsid w:val="00B37ADF"/>
    <w:rsid w:val="00BD56E4"/>
    <w:rsid w:val="00C108F4"/>
    <w:rsid w:val="00C54D19"/>
    <w:rsid w:val="00D74130"/>
    <w:rsid w:val="00E66436"/>
    <w:rsid w:val="00E97767"/>
    <w:rsid w:val="00EB0F87"/>
    <w:rsid w:val="00ED7B65"/>
    <w:rsid w:val="00EE6731"/>
    <w:rsid w:val="00F04D93"/>
    <w:rsid w:val="00F22911"/>
    <w:rsid w:val="00F252CC"/>
    <w:rsid w:val="00FD6E48"/>
    <w:rsid w:val="00FE5F89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57F32"/>
  <w15:docId w15:val="{91B884C9-E56E-46B4-9EC1-3733FB6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76249B"/>
    <w:pPr>
      <w:spacing w:before="100" w:beforeAutospacing="1" w:after="100" w:afterAutospacing="1"/>
    </w:pPr>
    <w:rPr>
      <w:sz w:val="24"/>
      <w:szCs w:val="24"/>
      <w:lang w:val="eu-ES"/>
    </w:rPr>
  </w:style>
  <w:style w:type="paragraph" w:styleId="Zerrenda-paragrafoa">
    <w:name w:val="List Paragraph"/>
    <w:basedOn w:val="Normala"/>
    <w:uiPriority w:val="34"/>
    <w:qFormat/>
    <w:rsid w:val="00BD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M6C8M.D1Nn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320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5</cp:revision>
  <cp:lastPrinted>2005-05-31T13:23:00Z</cp:lastPrinted>
  <dcterms:created xsi:type="dcterms:W3CDTF">2022-09-19T10:00:00Z</dcterms:created>
  <dcterms:modified xsi:type="dcterms:W3CDTF">2022-09-19T12:25:00Z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ARRASATE\altube</vt:lpwstr>
  </property>
  <property fmtid="{D5CDD505-2E9C-101B-9397-08002B2CF9AE}" pid="3" name="cgsCodigoCatalogo">
    <vt:lpwstr>K21/07462</vt:lpwstr>
  </property>
  <property fmtid="{D5CDD505-2E9C-101B-9397-08002B2CF9AE}" pid="4" name="cgsCodigoExpediente">
    <vt:lpwstr>2021RBAR0051</vt:lpwstr>
  </property>
  <property fmtid="{D5CDD505-2E9C-101B-9397-08002B2CF9AE}" pid="5" name="cgsGenerador">
    <vt:lpwstr>MUNIGEX</vt:lpwstr>
  </property>
  <property fmtid="{D5CDD505-2E9C-101B-9397-08002B2CF9AE}" pid="6" name="cgsIDGlobalDoc">
    <vt:lpwstr>803034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1135543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